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A7A07" w14:textId="77777777" w:rsidR="007B217C" w:rsidRPr="007B217C" w:rsidRDefault="007B217C" w:rsidP="007B217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</w:pPr>
      <w:r w:rsidRPr="007B217C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  <w:t>Checklist of matters to be addressed in your COVID-19 Safety Plan</w:t>
      </w:r>
    </w:p>
    <w:p w14:paraId="29383691" w14:textId="77777777" w:rsidR="007B217C" w:rsidRPr="007B217C" w:rsidRDefault="007B217C" w:rsidP="007B217C">
      <w:pPr>
        <w:shd w:val="clear" w:color="auto" w:fill="F4F4F7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</w:pPr>
      <w:r w:rsidRPr="007B217C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  <w:t>Wellbeing of staff and visitors</w:t>
      </w:r>
    </w:p>
    <w:p w14:paraId="6C92246D" w14:textId="77777777" w:rsidR="007B217C" w:rsidRPr="007B217C" w:rsidRDefault="007B217C" w:rsidP="007B21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Exclude staff, volunteers and visitors who are unwell.</w:t>
      </w:r>
    </w:p>
    <w:p w14:paraId="3D8C5BF0" w14:textId="77777777" w:rsidR="007B217C" w:rsidRPr="007B217C" w:rsidRDefault="007B217C" w:rsidP="007B21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Provide staff with information and training on COVID-19, including when to get </w:t>
      </w:r>
      <w:hyperlink r:id="rId5" w:tooltip="COVID-19 testing clinics" w:history="1">
        <w:r w:rsidRPr="007B21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en-AU"/>
          </w:rPr>
          <w:t>tested</w:t>
        </w:r>
      </w:hyperlink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, </w:t>
      </w:r>
      <w:hyperlink r:id="rId6" w:tooltip="Physical distancing" w:history="1">
        <w:r w:rsidRPr="007B21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en-AU"/>
          </w:rPr>
          <w:t>physical distancing</w:t>
        </w:r>
      </w:hyperlink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 and cleaning.</w:t>
      </w:r>
    </w:p>
    <w:p w14:paraId="4CAFE738" w14:textId="77777777" w:rsidR="007B217C" w:rsidRPr="007B217C" w:rsidRDefault="007B217C" w:rsidP="007B21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Make staff aware of their leave entitlements if they are sick or required to </w:t>
      </w:r>
      <w:hyperlink r:id="rId7" w:tooltip="Self-isolation and mandatory quarantine" w:history="1">
        <w:r w:rsidRPr="007B21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en-AU"/>
          </w:rPr>
          <w:t>self-isolate</w:t>
        </w:r>
      </w:hyperlink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.</w:t>
      </w:r>
    </w:p>
    <w:p w14:paraId="134631CD" w14:textId="77777777" w:rsidR="007B217C" w:rsidRPr="007B217C" w:rsidRDefault="007B217C" w:rsidP="007B21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Display conditions of entry (website, social media, venue entrance).</w:t>
      </w:r>
    </w:p>
    <w:p w14:paraId="06F152E1" w14:textId="77777777" w:rsidR="007B217C" w:rsidRPr="007B217C" w:rsidRDefault="007B217C" w:rsidP="007B21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Consider offering online services or alternative arrangements for </w:t>
      </w:r>
      <w:hyperlink r:id="rId8" w:tooltip="COVID-19 and vulnerable people" w:history="1">
        <w:r w:rsidRPr="007B21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en-AU"/>
          </w:rPr>
          <w:t>people in high-risk categories</w:t>
        </w:r>
      </w:hyperlink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 (for example, over 70 years of age).</w:t>
      </w:r>
    </w:p>
    <w:p w14:paraId="73052733" w14:textId="77777777" w:rsidR="007B217C" w:rsidRPr="007B217C" w:rsidRDefault="007B217C" w:rsidP="007B217C">
      <w:pPr>
        <w:shd w:val="clear" w:color="auto" w:fill="F4F4F7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</w:pPr>
      <w:r w:rsidRPr="007B217C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  <w:t>Physical distancing</w:t>
      </w:r>
    </w:p>
    <w:p w14:paraId="27BDC8D7" w14:textId="77777777" w:rsidR="007B217C" w:rsidRPr="007B217C" w:rsidRDefault="007B217C" w:rsidP="007B2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Capacity must not exceed, to a maximum of </w:t>
      </w:r>
      <w:hyperlink r:id="rId9" w:tooltip="Four square metre rule" w:history="1">
        <w:r w:rsidRPr="007B21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en-AU"/>
          </w:rPr>
          <w:t>one person per 4 square metres</w:t>
        </w:r>
      </w:hyperlink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,</w:t>
      </w:r>
    </w:p>
    <w:p w14:paraId="36CE9694" w14:textId="77777777" w:rsidR="007B217C" w:rsidRPr="007B217C" w:rsidRDefault="007B217C" w:rsidP="007B217C">
      <w:pPr>
        <w:numPr>
          <w:ilvl w:val="1"/>
          <w:numId w:val="2"/>
        </w:numPr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50 visitors for a religious service or private worship</w:t>
      </w:r>
    </w:p>
    <w:p w14:paraId="2E7387A1" w14:textId="77777777" w:rsidR="007B217C" w:rsidRPr="007B217C" w:rsidRDefault="007B217C" w:rsidP="007B217C">
      <w:pPr>
        <w:numPr>
          <w:ilvl w:val="1"/>
          <w:numId w:val="2"/>
        </w:numPr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50 guests for a funeral service, excluding the persons involved in conducting the service</w:t>
      </w:r>
    </w:p>
    <w:p w14:paraId="2126F97E" w14:textId="77777777" w:rsidR="007B217C" w:rsidRPr="007B217C" w:rsidRDefault="007B217C" w:rsidP="007B217C">
      <w:pPr>
        <w:numPr>
          <w:ilvl w:val="1"/>
          <w:numId w:val="2"/>
        </w:numPr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20 guests for a wedding service, excluding the couple, the persons involved in conducting the service and the photographer and the videographer.</w:t>
      </w:r>
    </w:p>
    <w:p w14:paraId="6F3E0D9E" w14:textId="77777777" w:rsidR="007B217C" w:rsidRPr="007B217C" w:rsidRDefault="007B217C" w:rsidP="007B2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Use </w:t>
      </w:r>
      <w:hyperlink r:id="rId10" w:tooltip="Posters and signage for business" w:history="1">
        <w:r w:rsidRPr="007B21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en-AU"/>
          </w:rPr>
          <w:t>signage</w:t>
        </w:r>
      </w:hyperlink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 to communicate the maximum safe capacity.</w:t>
      </w:r>
    </w:p>
    <w:p w14:paraId="3A9D651A" w14:textId="77777777" w:rsidR="007B217C" w:rsidRPr="007B217C" w:rsidRDefault="007B217C" w:rsidP="007B2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Move or remove tables and seating as required.</w:t>
      </w:r>
    </w:p>
    <w:p w14:paraId="433C7647" w14:textId="77777777" w:rsidR="007B217C" w:rsidRPr="007B217C" w:rsidRDefault="007B217C" w:rsidP="007B2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Reduce crowding wherever possible and promote </w:t>
      </w:r>
      <w:hyperlink r:id="rId11" w:tooltip="Physical distancing" w:history="1">
        <w:r w:rsidRPr="007B21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en-AU"/>
          </w:rPr>
          <w:t>physical distancing</w:t>
        </w:r>
      </w:hyperlink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.</w:t>
      </w:r>
    </w:p>
    <w:p w14:paraId="019267D9" w14:textId="77777777" w:rsidR="007B217C" w:rsidRPr="007B217C" w:rsidRDefault="007B217C" w:rsidP="007B2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Where reasonably practical, ensure staff maintain 1.5 metres </w:t>
      </w:r>
      <w:hyperlink r:id="rId12" w:tooltip="Physical distancing" w:history="1">
        <w:r w:rsidRPr="007B21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en-AU"/>
          </w:rPr>
          <w:t>physical distancing</w:t>
        </w:r>
      </w:hyperlink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 at all times (including at meal breaks).</w:t>
      </w:r>
    </w:p>
    <w:p w14:paraId="68A6B271" w14:textId="77777777" w:rsidR="007B217C" w:rsidRPr="007B217C" w:rsidRDefault="007B217C" w:rsidP="007B2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Use telephone or video for essential meetings where practical.</w:t>
      </w:r>
    </w:p>
    <w:p w14:paraId="5E18853F" w14:textId="77777777" w:rsidR="007B217C" w:rsidRPr="007B217C" w:rsidRDefault="007B217C" w:rsidP="007B2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Review regular deliveries and request contactless delivery and invoicing where practical.</w:t>
      </w:r>
    </w:p>
    <w:p w14:paraId="6DBCB247" w14:textId="77777777" w:rsidR="007B217C" w:rsidRPr="007B217C" w:rsidRDefault="007B217C" w:rsidP="007B2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Have strategies in place to manage gatherings that may occur immediately outside the premises.</w:t>
      </w:r>
    </w:p>
    <w:p w14:paraId="7B103950" w14:textId="77777777" w:rsidR="007B217C" w:rsidRPr="007B217C" w:rsidRDefault="007B217C" w:rsidP="007B2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Coordinate with public transport, where reasonably practical, around strategies to minimise COVID-19 risks associated with transportation to and from the venue.</w:t>
      </w:r>
    </w:p>
    <w:p w14:paraId="3873A514" w14:textId="77777777" w:rsidR="007B217C" w:rsidRPr="007B217C" w:rsidRDefault="007B217C" w:rsidP="007B2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Take measures to ensure drivers of courtesy vehicles minimise close contact with passengers.</w:t>
      </w:r>
    </w:p>
    <w:p w14:paraId="4790C336" w14:textId="77777777" w:rsidR="007B217C" w:rsidRPr="007B217C" w:rsidRDefault="007B217C" w:rsidP="007B2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Avoid group singing or chanting and wind instruments (such as flute, </w:t>
      </w:r>
      <w:proofErr w:type="gramStart"/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oboe</w:t>
      </w:r>
      <w:proofErr w:type="gramEnd"/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or clarinet). Solo singers should maintain at least 3 metres physical distance from other people.</w:t>
      </w:r>
    </w:p>
    <w:p w14:paraId="179DCB62" w14:textId="77777777" w:rsidR="007B217C" w:rsidRPr="007B217C" w:rsidRDefault="007B217C" w:rsidP="007B217C">
      <w:pPr>
        <w:shd w:val="clear" w:color="auto" w:fill="F4F4F7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</w:pPr>
      <w:r w:rsidRPr="007B217C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  <w:t>Hygiene and cleaning</w:t>
      </w:r>
    </w:p>
    <w:p w14:paraId="1B901D22" w14:textId="77777777" w:rsidR="007B217C" w:rsidRPr="007B217C" w:rsidRDefault="007B217C" w:rsidP="007B21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Adopt good </w:t>
      </w:r>
      <w:hyperlink r:id="rId13" w:tooltip="How to protect yourself and others" w:history="1">
        <w:r w:rsidRPr="007B21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en-AU"/>
          </w:rPr>
          <w:t>hand hygiene practices</w:t>
        </w:r>
      </w:hyperlink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.</w:t>
      </w:r>
    </w:p>
    <w:p w14:paraId="02BA737A" w14:textId="77777777" w:rsidR="007B217C" w:rsidRPr="007B217C" w:rsidRDefault="007B217C" w:rsidP="007B21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Ensure bathrooms are well stocked with hand soap and paper towels.</w:t>
      </w:r>
    </w:p>
    <w:p w14:paraId="45ECC5CB" w14:textId="77777777" w:rsidR="007B217C" w:rsidRPr="007B217C" w:rsidRDefault="007B217C" w:rsidP="007B21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lastRenderedPageBreak/>
        <w:t>Consider modifying religious rites or rituals to avoid direct contact where practical. Where this is not practical, ensure </w:t>
      </w:r>
      <w:hyperlink r:id="rId14" w:tooltip="How to protect yourself and others" w:history="1">
        <w:r w:rsidRPr="007B21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en-AU"/>
          </w:rPr>
          <w:t>hands are washed</w:t>
        </w:r>
      </w:hyperlink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 before and after each interaction with soap and water or hand sanitiser.</w:t>
      </w:r>
    </w:p>
    <w:p w14:paraId="276CD89D" w14:textId="77777777" w:rsidR="007B217C" w:rsidRPr="007B217C" w:rsidRDefault="007B217C" w:rsidP="007B21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Avoid sharing books, drinking cups or other shared objects used during the service such as collection plates. Also consider putting barriers around frequently touched objects of worship, such as shrines, </w:t>
      </w:r>
      <w:proofErr w:type="gramStart"/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relics</w:t>
      </w:r>
      <w:proofErr w:type="gramEnd"/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or fonts, to prevent people frequently touching these.</w:t>
      </w:r>
    </w:p>
    <w:p w14:paraId="15BEBDAE" w14:textId="77777777" w:rsidR="007B217C" w:rsidRPr="007B217C" w:rsidRDefault="007B217C" w:rsidP="007B21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Clean frequently used areas (including children's play areas) at least daily with detergent or disinfectant. Clean frequently touched areas and surfaces several times per day. </w:t>
      </w:r>
    </w:p>
    <w:p w14:paraId="517F69FE" w14:textId="77777777" w:rsidR="007B217C" w:rsidRPr="007B217C" w:rsidRDefault="007B217C" w:rsidP="007B21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Disinfectant solutions need to be maintained at an appropriate strength and use in accordance with the manufacturer's instructions.</w:t>
      </w:r>
    </w:p>
    <w:p w14:paraId="20120E71" w14:textId="77777777" w:rsidR="007B217C" w:rsidRPr="007B217C" w:rsidRDefault="007B217C" w:rsidP="007B21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Staff are to wear gloves when cleaning and </w:t>
      </w:r>
      <w:hyperlink r:id="rId15" w:tooltip="How to protect yourself and others" w:history="1">
        <w:r w:rsidRPr="007B21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en-AU"/>
          </w:rPr>
          <w:t>wash hands thoroughly</w:t>
        </w:r>
      </w:hyperlink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 before and after with soap and water.</w:t>
      </w:r>
    </w:p>
    <w:p w14:paraId="6FC0BE5E" w14:textId="77777777" w:rsidR="007B217C" w:rsidRPr="007B217C" w:rsidRDefault="007B217C" w:rsidP="007B217C">
      <w:pPr>
        <w:shd w:val="clear" w:color="auto" w:fill="F4F4F7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</w:pPr>
      <w:r w:rsidRPr="007B217C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  <w:t>Record keeping</w:t>
      </w:r>
    </w:p>
    <w:p w14:paraId="50541AA0" w14:textId="77777777" w:rsidR="007B217C" w:rsidRPr="007B217C" w:rsidRDefault="007B217C" w:rsidP="007B21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Keep a record of name and a mobile number or email address for all staff, volunteers, </w:t>
      </w:r>
      <w:proofErr w:type="gramStart"/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visitors</w:t>
      </w:r>
      <w:proofErr w:type="gramEnd"/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and contractors for a period of at least 28 days. Ensure records are used only for the purposes of tracing COVID-19 infections and are </w:t>
      </w:r>
      <w:hyperlink r:id="rId16" w:tgtFrame="_blank" w:tooltip="Coronavirus (COVID-19): Understanding your privacy obligations to your staff (https://www.oaic.gov.au/privacy/guidance-and-advice/coronavirus-covid-19-understanding-your-privacy-obligations-to-your-staff)" w:history="1">
        <w:r w:rsidRPr="007B21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en-AU"/>
          </w:rPr>
          <w:t>stored confidentially and securely</w:t>
        </w:r>
      </w:hyperlink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.</w:t>
      </w:r>
    </w:p>
    <w:p w14:paraId="458E5D57" w14:textId="77777777" w:rsidR="007B217C" w:rsidRPr="007B217C" w:rsidRDefault="007B217C" w:rsidP="007B21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Make your staff aware of the </w:t>
      </w:r>
      <w:proofErr w:type="spellStart"/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fldChar w:fldCharType="begin"/>
      </w: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instrText xml:space="preserve"> HYPERLINK "https://www.health.gov.au/resources/apps-and-tools/covidsafe-app" \o "COVIDSafe app (https://www.health.gov.au/resources/apps-and-tools/covidsafe-app)" \t "_blank" </w:instrText>
      </w: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fldChar w:fldCharType="separate"/>
      </w:r>
      <w:r w:rsidRPr="007B217C">
        <w:rPr>
          <w:rFonts w:ascii="Arial" w:eastAsia="Times New Roman" w:hAnsi="Arial" w:cs="Arial"/>
          <w:color w:val="551A8B"/>
          <w:sz w:val="24"/>
          <w:szCs w:val="24"/>
          <w:u w:val="single"/>
          <w:lang w:eastAsia="en-AU"/>
        </w:rPr>
        <w:t>COVIDSafe</w:t>
      </w:r>
      <w:proofErr w:type="spellEnd"/>
      <w:r w:rsidRPr="007B217C">
        <w:rPr>
          <w:rFonts w:ascii="Arial" w:eastAsia="Times New Roman" w:hAnsi="Arial" w:cs="Arial"/>
          <w:color w:val="551A8B"/>
          <w:sz w:val="24"/>
          <w:szCs w:val="24"/>
          <w:u w:val="single"/>
          <w:lang w:eastAsia="en-AU"/>
        </w:rPr>
        <w:t xml:space="preserve"> app</w:t>
      </w: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fldChar w:fldCharType="end"/>
      </w: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 and its benefits to support contact tracing if required.</w:t>
      </w:r>
    </w:p>
    <w:p w14:paraId="019FBE0F" w14:textId="77777777" w:rsidR="007B217C" w:rsidRPr="007B217C" w:rsidRDefault="007B217C" w:rsidP="007B217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Cooperate with NSW Health if contacted in relation to a positive case of COVID-19 at your workplace, and notify SafeWork NSW on </w:t>
      </w:r>
      <w:hyperlink r:id="rId17" w:tgtFrame="_blank" w:history="1">
        <w:r w:rsidRPr="007B21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en-AU"/>
          </w:rPr>
          <w:t>13 10 50</w:t>
        </w:r>
      </w:hyperlink>
      <w:r w:rsidRPr="007B217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.</w:t>
      </w:r>
    </w:p>
    <w:p w14:paraId="01E10FD5" w14:textId="77777777" w:rsidR="007B217C" w:rsidRDefault="007B217C"/>
    <w:sectPr w:rsidR="007B2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D6B"/>
    <w:multiLevelType w:val="multilevel"/>
    <w:tmpl w:val="71B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B5B24"/>
    <w:multiLevelType w:val="multilevel"/>
    <w:tmpl w:val="873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71FA2"/>
    <w:multiLevelType w:val="multilevel"/>
    <w:tmpl w:val="7560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CE31DC"/>
    <w:multiLevelType w:val="multilevel"/>
    <w:tmpl w:val="187E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7C"/>
    <w:rsid w:val="007B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F16B2"/>
  <w15:chartTrackingRefBased/>
  <w15:docId w15:val="{F2571550-0D6E-4CBF-8597-89425EC6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21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217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7B21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002664"/>
                <w:bottom w:val="none" w:sz="0" w:space="0" w:color="auto"/>
                <w:right w:val="none" w:sz="0" w:space="0" w:color="auto"/>
              </w:divBdr>
              <w:divsChild>
                <w:div w:id="9388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002664"/>
                <w:bottom w:val="none" w:sz="0" w:space="0" w:color="auto"/>
                <w:right w:val="none" w:sz="0" w:space="0" w:color="auto"/>
              </w:divBdr>
              <w:divsChild>
                <w:div w:id="20805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002664"/>
                <w:bottom w:val="none" w:sz="0" w:space="0" w:color="auto"/>
                <w:right w:val="none" w:sz="0" w:space="0" w:color="auto"/>
              </w:divBdr>
              <w:divsChild>
                <w:div w:id="1379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002664"/>
                <w:bottom w:val="none" w:sz="0" w:space="0" w:color="auto"/>
                <w:right w:val="none" w:sz="0" w:space="0" w:color="auto"/>
              </w:divBdr>
              <w:divsChild>
                <w:div w:id="16694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w.gov.au/covid-19/how-to-protect-yourself-and-others/covid-19-and-vulnerable-people" TargetMode="External"/><Relationship Id="rId13" Type="http://schemas.openxmlformats.org/officeDocument/2006/relationships/hyperlink" Target="https://www.nsw.gov.au/covid-19/how-to-protect-yourself-and-other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sw.gov.au/covid-19/self-isolation" TargetMode="External"/><Relationship Id="rId12" Type="http://schemas.openxmlformats.org/officeDocument/2006/relationships/hyperlink" Target="https://www.nsw.gov.au/covid-19/social-distancing" TargetMode="External"/><Relationship Id="rId17" Type="http://schemas.openxmlformats.org/officeDocument/2006/relationships/hyperlink" Target="tel:1310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aic.gov.au/privacy/guidance-and-advice/coronavirus-covid-19-understanding-your-privacy-obligations-to-your-staf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sw.gov.au/covid-19/social-distancing" TargetMode="External"/><Relationship Id="rId11" Type="http://schemas.openxmlformats.org/officeDocument/2006/relationships/hyperlink" Target="https://www.nsw.gov.au/covid-19/social-distancing" TargetMode="External"/><Relationship Id="rId5" Type="http://schemas.openxmlformats.org/officeDocument/2006/relationships/hyperlink" Target="https://www.nsw.gov.au/covid-19/how-to-protect-yourself-and-others/clinics" TargetMode="External"/><Relationship Id="rId15" Type="http://schemas.openxmlformats.org/officeDocument/2006/relationships/hyperlink" Target="https://www.nsw.gov.au/covid-19/how-to-protect-yourself-and-others" TargetMode="External"/><Relationship Id="rId10" Type="http://schemas.openxmlformats.org/officeDocument/2006/relationships/hyperlink" Target="https://www.nsw.gov.au/covid-19/industry-guidelines/posters-and-signage-for-busines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sw.gov.au/covid-19/what-you-can-and-cant-do-under-rules/four-square-metre-rule" TargetMode="External"/><Relationship Id="rId14" Type="http://schemas.openxmlformats.org/officeDocument/2006/relationships/hyperlink" Target="https://www.nsw.gov.au/covid-19/how-to-protect-yourself-and-oth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keaorr</dc:creator>
  <cp:keywords/>
  <dc:description/>
  <cp:lastModifiedBy>keaorr</cp:lastModifiedBy>
  <cp:revision>1</cp:revision>
  <dcterms:created xsi:type="dcterms:W3CDTF">2020-06-11T01:45:00Z</dcterms:created>
  <dcterms:modified xsi:type="dcterms:W3CDTF">2020-06-11T01:46:00Z</dcterms:modified>
</cp:coreProperties>
</file>